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F3F8" w14:textId="09CEC39E" w:rsidR="00E748E3" w:rsidRDefault="00E748E3" w:rsidP="00E748E3">
      <w:pPr>
        <w:pStyle w:val="Heading1"/>
      </w:pPr>
      <w:r>
        <w:t>Month End Close Guidance</w:t>
      </w:r>
    </w:p>
    <w:p w14:paraId="5EDD115A" w14:textId="4242A226" w:rsidR="00E748E3" w:rsidRDefault="00E748E3" w:rsidP="00E748E3">
      <w:r>
        <w:t xml:space="preserve">This document is to highlight and provide guidance for monthly activities that should be considered and completed on a consistent basis prior to closing the month. These practices will help agencies prepare for monthly closing activities that will be required once the State of Florida has transitioned </w:t>
      </w:r>
      <w:r w:rsidR="00F1731E">
        <w:t>into</w:t>
      </w:r>
      <w:r>
        <w:t xml:space="preserve"> Florida PALM.</w:t>
      </w:r>
      <w:r w:rsidR="00F1731E">
        <w:t xml:space="preserve"> This is a living document that will evolve as we progress through the Florida PALM Project and have a better understanding of agency responsibilities and best practices for the month end closing. </w:t>
      </w:r>
    </w:p>
    <w:p w14:paraId="2272ED48" w14:textId="486B7E67" w:rsidR="00DF5889" w:rsidRDefault="00DF5889" w:rsidP="00E748E3">
      <w:pPr>
        <w:pStyle w:val="Subtitle"/>
      </w:pPr>
      <w:r>
        <w:t xml:space="preserve">General Guidance: </w:t>
      </w:r>
    </w:p>
    <w:p w14:paraId="4A583378" w14:textId="1DD089AA" w:rsidR="00DF5889" w:rsidRDefault="00456F2B" w:rsidP="00DF5889">
      <w:pPr>
        <w:pStyle w:val="ListParagraph"/>
        <w:numPr>
          <w:ilvl w:val="0"/>
          <w:numId w:val="12"/>
        </w:numPr>
      </w:pPr>
      <w:r>
        <w:t xml:space="preserve">Review Schedule of Allotment Balances (SAB) </w:t>
      </w:r>
      <w:r w:rsidR="00DF5889">
        <w:t>to identify any negative allotments and to ensure expenditures are align</w:t>
      </w:r>
      <w:r w:rsidR="004404FE">
        <w:t xml:space="preserve">ed </w:t>
      </w:r>
      <w:r w:rsidR="00DF5889">
        <w:t>with budget.</w:t>
      </w:r>
    </w:p>
    <w:p w14:paraId="2434E3BD" w14:textId="77777777" w:rsidR="004404FE" w:rsidRDefault="00DF5889" w:rsidP="00DF5889">
      <w:pPr>
        <w:pStyle w:val="ListParagraph"/>
        <w:numPr>
          <w:ilvl w:val="0"/>
          <w:numId w:val="12"/>
        </w:numPr>
      </w:pPr>
      <w:r>
        <w:t>Review</w:t>
      </w:r>
      <w:r w:rsidR="00456F2B">
        <w:t xml:space="preserve"> Trial Balance to identify</w:t>
      </w:r>
      <w:r w:rsidR="004404FE">
        <w:t>:</w:t>
      </w:r>
    </w:p>
    <w:p w14:paraId="1EE5FFDB" w14:textId="1A33A17E" w:rsidR="004404FE" w:rsidRDefault="004404FE" w:rsidP="004404FE">
      <w:pPr>
        <w:pStyle w:val="ListParagraph"/>
        <w:numPr>
          <w:ilvl w:val="1"/>
          <w:numId w:val="12"/>
        </w:numPr>
      </w:pPr>
      <w:r>
        <w:t>O</w:t>
      </w:r>
      <w:r w:rsidR="00456F2B">
        <w:t>utages</w:t>
      </w:r>
      <w:r>
        <w:t>,</w:t>
      </w:r>
    </w:p>
    <w:p w14:paraId="609A6929" w14:textId="1DCA2A6E" w:rsidR="00456F2B" w:rsidRDefault="004404FE" w:rsidP="004404FE">
      <w:pPr>
        <w:pStyle w:val="ListParagraph"/>
        <w:numPr>
          <w:ilvl w:val="1"/>
          <w:numId w:val="12"/>
        </w:numPr>
      </w:pPr>
      <w:r>
        <w:t>T</w:t>
      </w:r>
      <w:r w:rsidR="00456F2B">
        <w:t xml:space="preserve">iming </w:t>
      </w:r>
      <w:r w:rsidR="00DF5889">
        <w:t>issues</w:t>
      </w:r>
      <w:r>
        <w:t xml:space="preserve">, </w:t>
      </w:r>
    </w:p>
    <w:p w14:paraId="36CF74D2" w14:textId="17530B84" w:rsidR="00272705" w:rsidRDefault="00272705" w:rsidP="004404FE">
      <w:pPr>
        <w:pStyle w:val="ListParagraph"/>
        <w:numPr>
          <w:ilvl w:val="1"/>
          <w:numId w:val="12"/>
        </w:numPr>
      </w:pPr>
      <w:r>
        <w:t xml:space="preserve">General ledgers that are out of balance, and </w:t>
      </w:r>
    </w:p>
    <w:p w14:paraId="0BE4ABEC" w14:textId="346194EC" w:rsidR="004404FE" w:rsidRDefault="004404FE" w:rsidP="004404FE">
      <w:pPr>
        <w:pStyle w:val="ListParagraph"/>
        <w:numPr>
          <w:ilvl w:val="1"/>
          <w:numId w:val="12"/>
        </w:numPr>
      </w:pPr>
      <w:r>
        <w:t>General ledgers that may have atypical balances</w:t>
      </w:r>
      <w:r w:rsidR="00272705">
        <w:t>.</w:t>
      </w:r>
    </w:p>
    <w:p w14:paraId="28D4F5B1" w14:textId="7113A645" w:rsidR="00DF5889" w:rsidRDefault="00DF5889" w:rsidP="00DF5889">
      <w:pPr>
        <w:pStyle w:val="ListParagraph"/>
        <w:numPr>
          <w:ilvl w:val="0"/>
          <w:numId w:val="12"/>
        </w:numPr>
      </w:pPr>
      <w:r>
        <w:t xml:space="preserve">Identify and correct any </w:t>
      </w:r>
      <w:r w:rsidR="004404FE">
        <w:t xml:space="preserve">funds </w:t>
      </w:r>
      <w:r>
        <w:t>that may have negative cash.</w:t>
      </w:r>
    </w:p>
    <w:p w14:paraId="7BC4CAAC" w14:textId="553B2274" w:rsidR="00E748E3" w:rsidRDefault="00E748E3" w:rsidP="00DF5889">
      <w:pPr>
        <w:pStyle w:val="ListParagraph"/>
        <w:numPr>
          <w:ilvl w:val="0"/>
          <w:numId w:val="12"/>
        </w:numPr>
      </w:pPr>
      <w:r>
        <w:t xml:space="preserve">Continually monitor cash, releases, allotments, and other transactional activities to ensure accounting entries are correct and identified in a timely manner. </w:t>
      </w:r>
    </w:p>
    <w:p w14:paraId="208D52C6" w14:textId="3996EA0E" w:rsidR="00456F2B" w:rsidRDefault="00456F2B" w:rsidP="00E748E3">
      <w:pPr>
        <w:pStyle w:val="Subtitle"/>
      </w:pPr>
      <w:r>
        <w:t>Expenditures:</w:t>
      </w:r>
    </w:p>
    <w:p w14:paraId="5E3D4B9D" w14:textId="4C713B2B" w:rsidR="00456F2B" w:rsidRDefault="00456F2B" w:rsidP="006F73EB">
      <w:pPr>
        <w:pStyle w:val="ListParagraph"/>
        <w:numPr>
          <w:ilvl w:val="0"/>
          <w:numId w:val="5"/>
        </w:numPr>
        <w:ind w:left="720"/>
      </w:pPr>
      <w:r>
        <w:t>Review Vouchers in an N status to determine what actions must be taken</w:t>
      </w:r>
      <w:r w:rsidR="006F73EB">
        <w:t>.</w:t>
      </w:r>
    </w:p>
    <w:p w14:paraId="180BF2C1" w14:textId="49712D75" w:rsidR="006F73EB" w:rsidRDefault="006F73EB" w:rsidP="006F73EB">
      <w:pPr>
        <w:pStyle w:val="ListParagraph"/>
        <w:numPr>
          <w:ilvl w:val="0"/>
          <w:numId w:val="5"/>
        </w:numPr>
        <w:ind w:left="720"/>
      </w:pPr>
      <w:r>
        <w:t xml:space="preserve">Review warrants in a Stop status to determine if </w:t>
      </w:r>
      <w:r w:rsidR="00654F2D">
        <w:t>warrant should</w:t>
      </w:r>
      <w:r>
        <w:t xml:space="preserve"> be cancelled</w:t>
      </w:r>
      <w:r w:rsidR="00654F2D">
        <w:t xml:space="preserve"> or reissued</w:t>
      </w:r>
      <w:r>
        <w:t>.</w:t>
      </w:r>
    </w:p>
    <w:p w14:paraId="6EA54A76" w14:textId="15E9BC18" w:rsidR="006F73EB" w:rsidRDefault="00654F2D" w:rsidP="006F73EB">
      <w:pPr>
        <w:pStyle w:val="ListParagraph"/>
        <w:numPr>
          <w:ilvl w:val="0"/>
          <w:numId w:val="5"/>
        </w:numPr>
        <w:ind w:left="720"/>
      </w:pPr>
      <w:r>
        <w:t xml:space="preserve">Record </w:t>
      </w:r>
      <w:r w:rsidR="006F73EB">
        <w:t xml:space="preserve">warrant cancellations </w:t>
      </w:r>
      <w:r>
        <w:t xml:space="preserve">with </w:t>
      </w:r>
      <w:r w:rsidR="006F73EB">
        <w:t>TR58s/TR96s.</w:t>
      </w:r>
    </w:p>
    <w:p w14:paraId="1993B4CF" w14:textId="6598E003" w:rsidR="006F73EB" w:rsidRDefault="006F73EB" w:rsidP="006F73EB">
      <w:pPr>
        <w:pStyle w:val="ListParagraph"/>
        <w:numPr>
          <w:ilvl w:val="0"/>
          <w:numId w:val="5"/>
        </w:numPr>
        <w:ind w:left="720"/>
      </w:pPr>
      <w:r>
        <w:t>Voucher Audit Screen – Reconcile between Departmental FLAIR and Central FLAIR. It is also helpful to reconcile to Agency Business Systems and FACTS if applicable.</w:t>
      </w:r>
    </w:p>
    <w:p w14:paraId="4EA0FE62" w14:textId="48D9AE90" w:rsidR="00DF5889" w:rsidRDefault="00DF5889" w:rsidP="006F73EB">
      <w:pPr>
        <w:pStyle w:val="ListParagraph"/>
        <w:numPr>
          <w:ilvl w:val="0"/>
          <w:numId w:val="5"/>
        </w:numPr>
        <w:ind w:left="720"/>
      </w:pPr>
      <w:r>
        <w:t>Review encumbrances to identify ones that can be closed. Be sure to consider any blanket and multi-year encumbrances.</w:t>
      </w:r>
    </w:p>
    <w:p w14:paraId="4D5C5CEF" w14:textId="547C091F" w:rsidR="00DF5889" w:rsidRDefault="00DF5889" w:rsidP="006F73EB">
      <w:pPr>
        <w:pStyle w:val="ListParagraph"/>
        <w:numPr>
          <w:ilvl w:val="0"/>
          <w:numId w:val="5"/>
        </w:numPr>
        <w:ind w:left="720"/>
      </w:pPr>
      <w:r>
        <w:t xml:space="preserve">Review payables </w:t>
      </w:r>
      <w:r w:rsidR="004404FE">
        <w:t xml:space="preserve">used as liabilities to ensure that they are still </w:t>
      </w:r>
      <w:r w:rsidR="00A9254B">
        <w:t>owed,</w:t>
      </w:r>
      <w:r w:rsidR="004404FE">
        <w:t xml:space="preserve"> and the payment has not already been issued.</w:t>
      </w:r>
    </w:p>
    <w:p w14:paraId="17D276FC" w14:textId="42E1AF59" w:rsidR="004404FE" w:rsidRDefault="004404FE" w:rsidP="006F73EB">
      <w:pPr>
        <w:pStyle w:val="ListParagraph"/>
        <w:numPr>
          <w:ilvl w:val="0"/>
          <w:numId w:val="5"/>
        </w:numPr>
        <w:ind w:left="720"/>
      </w:pPr>
      <w:r>
        <w:t xml:space="preserve">Review payables used </w:t>
      </w:r>
      <w:r w:rsidR="00654F2D">
        <w:t>for</w:t>
      </w:r>
      <w:r>
        <w:t xml:space="preserve"> accruals to ensure that they have been properly recorded or removed as needed.</w:t>
      </w:r>
    </w:p>
    <w:p w14:paraId="5C2338D0" w14:textId="2A83797B" w:rsidR="00141705" w:rsidRDefault="00141705" w:rsidP="006F73EB">
      <w:pPr>
        <w:pStyle w:val="ListParagraph"/>
        <w:numPr>
          <w:ilvl w:val="0"/>
          <w:numId w:val="5"/>
        </w:numPr>
        <w:ind w:left="720"/>
      </w:pPr>
      <w:r>
        <w:t xml:space="preserve">Review and resolve outstanding interest penalties. </w:t>
      </w:r>
    </w:p>
    <w:p w14:paraId="75983C14" w14:textId="45FCF51A" w:rsidR="00456F2B" w:rsidRDefault="00456F2B" w:rsidP="00E748E3">
      <w:pPr>
        <w:pStyle w:val="Subtitle"/>
      </w:pPr>
      <w:r>
        <w:t>Deposit:</w:t>
      </w:r>
    </w:p>
    <w:p w14:paraId="6D60528A" w14:textId="6710BFDF" w:rsidR="00456F2B" w:rsidRDefault="004404FE" w:rsidP="006F73EB">
      <w:pPr>
        <w:pStyle w:val="ListParagraph"/>
        <w:numPr>
          <w:ilvl w:val="0"/>
          <w:numId w:val="3"/>
        </w:numPr>
      </w:pPr>
      <w:r>
        <w:t>Review and identify any</w:t>
      </w:r>
      <w:r w:rsidR="00456F2B">
        <w:t xml:space="preserve"> </w:t>
      </w:r>
      <w:r>
        <w:t>d</w:t>
      </w:r>
      <w:r w:rsidR="00456F2B">
        <w:t xml:space="preserve">ebit </w:t>
      </w:r>
      <w:r>
        <w:t>m</w:t>
      </w:r>
      <w:r w:rsidR="00456F2B">
        <w:t>emos</w:t>
      </w:r>
      <w:r>
        <w:t xml:space="preserve"> and ensure that the necessary transactions have </w:t>
      </w:r>
      <w:r w:rsidR="00654F2D">
        <w:t>been processed</w:t>
      </w:r>
      <w:r>
        <w:t xml:space="preserve"> to move the cash from the default account to the correct FLAIR account code via a zero-treasury receipt.</w:t>
      </w:r>
    </w:p>
    <w:p w14:paraId="06F1B1E2" w14:textId="486AAAF6" w:rsidR="00456F2B" w:rsidRDefault="004404FE" w:rsidP="006F73EB">
      <w:pPr>
        <w:pStyle w:val="ListParagraph"/>
        <w:numPr>
          <w:ilvl w:val="0"/>
          <w:numId w:val="3"/>
        </w:numPr>
      </w:pPr>
      <w:r>
        <w:t xml:space="preserve">Review the </w:t>
      </w:r>
      <w:r w:rsidR="00456F2B">
        <w:t>Unreconciled Deposits Report</w:t>
      </w:r>
      <w:r>
        <w:t xml:space="preserve"> from Florida PALM to determine if any cash receipts need to be input into Departmental FLAIR.</w:t>
      </w:r>
    </w:p>
    <w:p w14:paraId="30FB4922" w14:textId="089DC65A" w:rsidR="00456F2B" w:rsidRDefault="004404FE" w:rsidP="006F73EB">
      <w:pPr>
        <w:pStyle w:val="ListParagraph"/>
        <w:numPr>
          <w:ilvl w:val="0"/>
          <w:numId w:val="3"/>
        </w:numPr>
      </w:pPr>
      <w:r>
        <w:lastRenderedPageBreak/>
        <w:t>Review reports to identify an</w:t>
      </w:r>
      <w:r w:rsidR="00654F2D">
        <w:t>y</w:t>
      </w:r>
      <w:r>
        <w:t xml:space="preserve"> u</w:t>
      </w:r>
      <w:r w:rsidR="00456F2B">
        <w:t xml:space="preserve">nverified </w:t>
      </w:r>
      <w:r>
        <w:t>d</w:t>
      </w:r>
      <w:r w:rsidR="00456F2B">
        <w:t>eposits</w:t>
      </w:r>
      <w:r>
        <w:t>.</w:t>
      </w:r>
    </w:p>
    <w:p w14:paraId="56C546CE" w14:textId="2DA16E55" w:rsidR="006F73EB" w:rsidRDefault="004404FE" w:rsidP="006F73EB">
      <w:pPr>
        <w:pStyle w:val="ListParagraph"/>
        <w:numPr>
          <w:ilvl w:val="0"/>
          <w:numId w:val="3"/>
        </w:numPr>
      </w:pPr>
      <w:r>
        <w:t>Confirm that the receiving</w:t>
      </w:r>
      <w:r w:rsidR="006F73EB">
        <w:t xml:space="preserve"> side</w:t>
      </w:r>
      <w:r>
        <w:t>s</w:t>
      </w:r>
      <w:r w:rsidR="006F73EB">
        <w:t xml:space="preserve"> of JT</w:t>
      </w:r>
      <w:r>
        <w:t>s</w:t>
      </w:r>
      <w:r w:rsidR="006F73EB">
        <w:t xml:space="preserve"> have been processed </w:t>
      </w:r>
      <w:r w:rsidR="00654F2D">
        <w:t xml:space="preserve">with </w:t>
      </w:r>
      <w:r w:rsidR="006F73EB">
        <w:t>TR96 or TR99</w:t>
      </w:r>
      <w:r w:rsidR="0003246D">
        <w:t>.</w:t>
      </w:r>
    </w:p>
    <w:p w14:paraId="0913EEB0" w14:textId="64AB38EC" w:rsidR="004404FE" w:rsidRDefault="004404FE" w:rsidP="006F73EB">
      <w:pPr>
        <w:pStyle w:val="ListParagraph"/>
        <w:numPr>
          <w:ilvl w:val="0"/>
          <w:numId w:val="3"/>
        </w:numPr>
      </w:pPr>
      <w:r>
        <w:t>Review receivables to determine if the payment has been received and the receivable is still valid.</w:t>
      </w:r>
    </w:p>
    <w:p w14:paraId="201E47DA" w14:textId="77777777" w:rsidR="00DF5889" w:rsidRDefault="00DF5889" w:rsidP="00E748E3">
      <w:pPr>
        <w:pStyle w:val="Subtitle"/>
      </w:pPr>
      <w:r>
        <w:t>Transfers:</w:t>
      </w:r>
    </w:p>
    <w:p w14:paraId="43B4E6EA" w14:textId="59046341" w:rsidR="00DF5889" w:rsidRDefault="00DF5889" w:rsidP="004404FE">
      <w:pPr>
        <w:pStyle w:val="ListParagraph"/>
        <w:numPr>
          <w:ilvl w:val="0"/>
          <w:numId w:val="13"/>
        </w:numPr>
      </w:pPr>
      <w:r>
        <w:t>Communicate with other agencies to ensure timely processing and that proper coding is used.</w:t>
      </w:r>
    </w:p>
    <w:p w14:paraId="272BE544" w14:textId="094CFDAC" w:rsidR="008C483C" w:rsidRDefault="008C483C" w:rsidP="004404FE">
      <w:pPr>
        <w:pStyle w:val="ListParagraph"/>
        <w:numPr>
          <w:ilvl w:val="0"/>
          <w:numId w:val="13"/>
        </w:numPr>
      </w:pPr>
      <w:r>
        <w:t>Communicate with other agencies to ensure agency’s Form 3 (Ex: Due To/Due From) transactions are reported with the same amounts</w:t>
      </w:r>
      <w:r w:rsidR="00724D1E">
        <w:t xml:space="preserve"> and appropriate offsetting general ledgers.</w:t>
      </w:r>
    </w:p>
    <w:p w14:paraId="043328B2" w14:textId="5471783B" w:rsidR="006F73EB" w:rsidRDefault="00456F2B" w:rsidP="00E748E3">
      <w:pPr>
        <w:pStyle w:val="Subtitle"/>
      </w:pPr>
      <w:r>
        <w:t>Disinvestments</w:t>
      </w:r>
      <w:r w:rsidR="006F73EB">
        <w:t>:</w:t>
      </w:r>
    </w:p>
    <w:p w14:paraId="6D16D001" w14:textId="6C526BB7" w:rsidR="00456F2B" w:rsidRDefault="006F73EB" w:rsidP="006F73EB">
      <w:pPr>
        <w:pStyle w:val="ListParagraph"/>
        <w:numPr>
          <w:ilvl w:val="0"/>
          <w:numId w:val="7"/>
        </w:numPr>
        <w:ind w:left="720"/>
      </w:pPr>
      <w:r>
        <w:t>Verify journals have</w:t>
      </w:r>
      <w:r w:rsidR="00456F2B">
        <w:t xml:space="preserve"> posted to Central FLAIR.</w:t>
      </w:r>
    </w:p>
    <w:p w14:paraId="68D46B0B" w14:textId="10820E07" w:rsidR="00456F2B" w:rsidRDefault="006F73EB" w:rsidP="006F73EB">
      <w:pPr>
        <w:pStyle w:val="ListParagraph"/>
        <w:numPr>
          <w:ilvl w:val="0"/>
          <w:numId w:val="7"/>
        </w:numPr>
        <w:ind w:left="720"/>
      </w:pPr>
      <w:r>
        <w:t>Review entries in</w:t>
      </w:r>
      <w:r w:rsidR="00456F2B">
        <w:t xml:space="preserve"> Florida PALM</w:t>
      </w:r>
      <w:r>
        <w:t xml:space="preserve"> to determine if any journals </w:t>
      </w:r>
      <w:r w:rsidR="00456F2B">
        <w:t>may need</w:t>
      </w:r>
      <w:r>
        <w:t xml:space="preserve"> to be processed with the</w:t>
      </w:r>
      <w:r w:rsidR="00456F2B">
        <w:t xml:space="preserve"> RED distribution to keep the systems in sync. </w:t>
      </w:r>
    </w:p>
    <w:p w14:paraId="69464A05" w14:textId="4277625F" w:rsidR="00654F2D" w:rsidRDefault="00654F2D" w:rsidP="006F73EB">
      <w:pPr>
        <w:pStyle w:val="ListParagraph"/>
        <w:numPr>
          <w:ilvl w:val="0"/>
          <w:numId w:val="7"/>
        </w:numPr>
        <w:ind w:left="720"/>
      </w:pPr>
      <w:r>
        <w:t>Review Florida PALM GLR083 – Investment Activity Report to ensure activity and balances are correct.</w:t>
      </w:r>
    </w:p>
    <w:p w14:paraId="2A312CDB" w14:textId="78FFA6A8" w:rsidR="005C4515" w:rsidRDefault="005C4515" w:rsidP="00E748E3">
      <w:pPr>
        <w:pStyle w:val="Subtitle"/>
      </w:pPr>
      <w:r>
        <w:t>Property:</w:t>
      </w:r>
    </w:p>
    <w:p w14:paraId="3862BBB8" w14:textId="27CF133C" w:rsidR="005C4515" w:rsidRDefault="00654F2D" w:rsidP="005C4515">
      <w:pPr>
        <w:pStyle w:val="ListParagraph"/>
        <w:numPr>
          <w:ilvl w:val="0"/>
          <w:numId w:val="9"/>
        </w:numPr>
      </w:pPr>
      <w:r>
        <w:t>Review</w:t>
      </w:r>
      <w:r w:rsidR="005C4515">
        <w:t xml:space="preserve"> the Property Pending File to ensure that pending items are worked and added to the Property Master regularly.</w:t>
      </w:r>
    </w:p>
    <w:p w14:paraId="58D7E783" w14:textId="643BD1DF" w:rsidR="005C4515" w:rsidRDefault="005C4515" w:rsidP="005C4515">
      <w:pPr>
        <w:pStyle w:val="ListParagraph"/>
        <w:numPr>
          <w:ilvl w:val="0"/>
          <w:numId w:val="9"/>
        </w:numPr>
      </w:pPr>
      <w:r>
        <w:t>Review property general ledgers from the Trial Balance and reconcile to the Property Master File.</w:t>
      </w:r>
    </w:p>
    <w:p w14:paraId="277D25A8" w14:textId="14FC2635" w:rsidR="005C4515" w:rsidRDefault="00DF5889" w:rsidP="00E748E3">
      <w:pPr>
        <w:pStyle w:val="Subtitle"/>
      </w:pPr>
      <w:r>
        <w:t>Payroll:</w:t>
      </w:r>
    </w:p>
    <w:p w14:paraId="7E8C7BA7" w14:textId="7BF62B0C" w:rsidR="00DF5889" w:rsidRDefault="00DF5889" w:rsidP="004404FE">
      <w:pPr>
        <w:pStyle w:val="ListParagraph"/>
        <w:numPr>
          <w:ilvl w:val="0"/>
          <w:numId w:val="14"/>
        </w:numPr>
      </w:pPr>
      <w:r>
        <w:t>Ensure accounting entries related to payroll have been recorded in Departmental FLAIR (TR58s).</w:t>
      </w:r>
    </w:p>
    <w:p w14:paraId="490F4432" w14:textId="1248B72E" w:rsidR="00DF5889" w:rsidRDefault="00DF5889" w:rsidP="004404FE">
      <w:pPr>
        <w:pStyle w:val="ListParagraph"/>
        <w:numPr>
          <w:ilvl w:val="0"/>
          <w:numId w:val="14"/>
        </w:numPr>
      </w:pPr>
      <w:r>
        <w:t xml:space="preserve">Review designated payroll accounts to ensure that there are no negative cash balances </w:t>
      </w:r>
      <w:r w:rsidR="004404FE">
        <w:t xml:space="preserve">or clear any items that are recorded to the default fund </w:t>
      </w:r>
      <w:r>
        <w:t>as result of payroll processing.</w:t>
      </w:r>
      <w:r w:rsidR="004404FE">
        <w:t xml:space="preserve"> These should be continually monitored. </w:t>
      </w:r>
    </w:p>
    <w:p w14:paraId="264ED63E" w14:textId="7E9252DA" w:rsidR="00DF5889" w:rsidRDefault="00DF5889" w:rsidP="004404FE">
      <w:pPr>
        <w:pStyle w:val="ListParagraph"/>
        <w:numPr>
          <w:ilvl w:val="0"/>
          <w:numId w:val="14"/>
        </w:numPr>
      </w:pPr>
      <w:r>
        <w:t>Ensure timesheets are approved on time and that there are no salary overpayments</w:t>
      </w:r>
      <w:r w:rsidR="0003246D">
        <w:t>.</w:t>
      </w:r>
    </w:p>
    <w:p w14:paraId="5ED32B9E" w14:textId="77777777" w:rsidR="005C4515" w:rsidRDefault="005C4515" w:rsidP="005C4515">
      <w:pPr>
        <w:pStyle w:val="ListParagraph"/>
      </w:pPr>
    </w:p>
    <w:p w14:paraId="68B05DB5" w14:textId="77777777" w:rsidR="00456F2B" w:rsidRDefault="00456F2B"/>
    <w:sectPr w:rsidR="00456F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3BAF"/>
    <w:multiLevelType w:val="hybridMultilevel"/>
    <w:tmpl w:val="96223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B3A"/>
    <w:multiLevelType w:val="hybridMultilevel"/>
    <w:tmpl w:val="45A09418"/>
    <w:lvl w:ilvl="0" w:tplc="0602C836"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F7FF8"/>
    <w:multiLevelType w:val="hybridMultilevel"/>
    <w:tmpl w:val="CC8825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1F699E"/>
    <w:multiLevelType w:val="hybridMultilevel"/>
    <w:tmpl w:val="EB080E9E"/>
    <w:lvl w:ilvl="0" w:tplc="EFFA134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77542"/>
    <w:multiLevelType w:val="hybridMultilevel"/>
    <w:tmpl w:val="70CCC72A"/>
    <w:lvl w:ilvl="0" w:tplc="682A94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F7F14"/>
    <w:multiLevelType w:val="hybridMultilevel"/>
    <w:tmpl w:val="D2D0F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46B85"/>
    <w:multiLevelType w:val="hybridMultilevel"/>
    <w:tmpl w:val="8C76EF9E"/>
    <w:lvl w:ilvl="0" w:tplc="682A942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2A6247"/>
    <w:multiLevelType w:val="hybridMultilevel"/>
    <w:tmpl w:val="0A747754"/>
    <w:lvl w:ilvl="0" w:tplc="EFFA134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E178FB"/>
    <w:multiLevelType w:val="hybridMultilevel"/>
    <w:tmpl w:val="4164F64A"/>
    <w:lvl w:ilvl="0" w:tplc="0602C83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F1666F"/>
    <w:multiLevelType w:val="hybridMultilevel"/>
    <w:tmpl w:val="B1187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B7DF2"/>
    <w:multiLevelType w:val="hybridMultilevel"/>
    <w:tmpl w:val="0C14CD9A"/>
    <w:lvl w:ilvl="0" w:tplc="90CEDB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972AB"/>
    <w:multiLevelType w:val="hybridMultilevel"/>
    <w:tmpl w:val="C3B6B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33584"/>
    <w:multiLevelType w:val="hybridMultilevel"/>
    <w:tmpl w:val="D990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6F7547"/>
    <w:multiLevelType w:val="hybridMultilevel"/>
    <w:tmpl w:val="FD4E2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44480860">
    <w:abstractNumId w:val="8"/>
  </w:num>
  <w:num w:numId="2" w16cid:durableId="2034652368">
    <w:abstractNumId w:val="3"/>
  </w:num>
  <w:num w:numId="3" w16cid:durableId="1504322890">
    <w:abstractNumId w:val="5"/>
  </w:num>
  <w:num w:numId="4" w16cid:durableId="1835367080">
    <w:abstractNumId w:val="7"/>
  </w:num>
  <w:num w:numId="5" w16cid:durableId="1397119941">
    <w:abstractNumId w:val="13"/>
  </w:num>
  <w:num w:numId="6" w16cid:durableId="2140491604">
    <w:abstractNumId w:val="1"/>
  </w:num>
  <w:num w:numId="7" w16cid:durableId="878277445">
    <w:abstractNumId w:val="2"/>
  </w:num>
  <w:num w:numId="8" w16cid:durableId="891312509">
    <w:abstractNumId w:val="10"/>
  </w:num>
  <w:num w:numId="9" w16cid:durableId="1998728113">
    <w:abstractNumId w:val="9"/>
  </w:num>
  <w:num w:numId="10" w16cid:durableId="1358383399">
    <w:abstractNumId w:val="6"/>
  </w:num>
  <w:num w:numId="11" w16cid:durableId="1624266414">
    <w:abstractNumId w:val="4"/>
  </w:num>
  <w:num w:numId="12" w16cid:durableId="2007978137">
    <w:abstractNumId w:val="0"/>
  </w:num>
  <w:num w:numId="13" w16cid:durableId="982390207">
    <w:abstractNumId w:val="12"/>
  </w:num>
  <w:num w:numId="14" w16cid:durableId="1483352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F4"/>
    <w:rsid w:val="0003246D"/>
    <w:rsid w:val="00141705"/>
    <w:rsid w:val="00272705"/>
    <w:rsid w:val="00305769"/>
    <w:rsid w:val="003F6BB8"/>
    <w:rsid w:val="004404FE"/>
    <w:rsid w:val="00456F2B"/>
    <w:rsid w:val="004768F4"/>
    <w:rsid w:val="005C4515"/>
    <w:rsid w:val="00654F2D"/>
    <w:rsid w:val="006E4534"/>
    <w:rsid w:val="006F73EB"/>
    <w:rsid w:val="00706CF3"/>
    <w:rsid w:val="00724D1E"/>
    <w:rsid w:val="007707DE"/>
    <w:rsid w:val="007A3926"/>
    <w:rsid w:val="00823EB0"/>
    <w:rsid w:val="008262F3"/>
    <w:rsid w:val="008C483C"/>
    <w:rsid w:val="008D5AEE"/>
    <w:rsid w:val="00A9254B"/>
    <w:rsid w:val="00DF5889"/>
    <w:rsid w:val="00E748E3"/>
    <w:rsid w:val="00F1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8E629"/>
  <w15:chartTrackingRefBased/>
  <w15:docId w15:val="{57C90FDF-021D-4468-A8FA-869DCF79C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8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8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8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8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8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8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8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8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8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8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8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8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8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8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8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8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8F4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654F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Financial Services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Collins-Okane, Julia</dc:creator>
  <cp:keywords/>
  <dc:description/>
  <cp:lastModifiedBy>Collins-Okane, Julia</cp:lastModifiedBy>
  <cp:revision>6</cp:revision>
  <dcterms:created xsi:type="dcterms:W3CDTF">2024-05-06T13:52:00Z</dcterms:created>
  <dcterms:modified xsi:type="dcterms:W3CDTF">2024-10-03T12:24:00Z</dcterms:modified>
</cp:coreProperties>
</file>